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21bis-e</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303519</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E-meeting,</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17 -26 April</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7</w:t>
      </w:r>
      <w:r>
        <w:rPr>
          <w:rFonts w:ascii="Arial" w:hAnsi="Arial" w:eastAsia="宋体" w:cs="Arial"/>
          <w:b/>
          <w:bCs/>
          <w:kern w:val="0"/>
          <w:sz w:val="24"/>
          <w:szCs w:val="20"/>
          <w:lang w:val="en-GB"/>
        </w:rPr>
        <w:t>.</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mobility enhancements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w:t>
      </w:r>
      <w:r>
        <w:rPr>
          <w:rFonts w:hint="eastAsia" w:ascii="Arial" w:hAnsi="Arial" w:eastAsia="宋体" w:cs="Arial"/>
          <w:kern w:val="0"/>
          <w:sz w:val="20"/>
          <w:szCs w:val="20"/>
          <w:lang w:val="en-US" w:eastAsia="zh-CN"/>
        </w:rPr>
        <w:t>21 meeting [1]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the following agreements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neighbour cell measurement</w:t>
      </w:r>
      <w:r>
        <w:rPr>
          <w:rFonts w:hint="eastAsia" w:ascii="Arial" w:hAnsi="Arial" w:eastAsia="宋体" w:cs="Arial"/>
          <w:kern w:val="0"/>
          <w:sz w:val="20"/>
          <w:szCs w:val="20"/>
        </w:rPr>
        <w:t xml:space="preserve"> enhancements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are achieved</w:t>
      </w:r>
      <w:r>
        <w:rPr>
          <w:rFonts w:ascii="Arial" w:hAnsi="Arial" w:eastAsia="宋体" w:cs="Arial"/>
          <w:kern w:val="0"/>
          <w:sz w:val="20"/>
          <w:szCs w:val="20"/>
          <w:lang w:val="en-GB" w:eastAsia="en-US"/>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5"/>
              <w:keepNext w:val="0"/>
              <w:keepLines w:val="0"/>
              <w:numPr>
                <w:ilvl w:val="0"/>
                <w:numId w:val="1"/>
              </w:numPr>
              <w:suppressLineNumbers w:val="0"/>
              <w:spacing w:before="0" w:beforeAutospacing="0" w:after="0" w:afterAutospacing="0"/>
              <w:ind w:right="0"/>
              <w:rPr>
                <w:rFonts w:hint="default" w:ascii="Arial" w:hAnsi="Arial" w:cs="Arial"/>
                <w:b/>
                <w:bCs/>
                <w:highlight w:val="none"/>
              </w:rPr>
            </w:pPr>
            <w:r>
              <w:rPr>
                <w:rFonts w:hint="default" w:ascii="Arial" w:hAnsi="Arial" w:cs="Arial"/>
                <w:b/>
                <w:bCs/>
                <w:highlight w:val="none"/>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w:t>
            </w:r>
          </w:p>
          <w:p>
            <w:pPr>
              <w:pStyle w:val="25"/>
              <w:keepNext w:val="0"/>
              <w:keepLines w:val="0"/>
              <w:numPr>
                <w:ilvl w:val="0"/>
                <w:numId w:val="1"/>
              </w:numPr>
              <w:suppressLineNumbers w:val="0"/>
              <w:spacing w:before="0" w:beforeAutospacing="0" w:after="0" w:afterAutospacing="0"/>
              <w:ind w:right="0"/>
              <w:rPr>
                <w:rFonts w:hint="default" w:ascii="Arial" w:hAnsi="Arial" w:cs="Arial"/>
                <w:b/>
                <w:bCs/>
                <w:highlight w:val="none"/>
              </w:rPr>
            </w:pPr>
            <w:r>
              <w:rPr>
                <w:rFonts w:hint="default" w:ascii="Arial" w:hAnsi="Arial" w:cs="Arial"/>
                <w:b/>
                <w:bCs/>
                <w:highlight w:val="none"/>
              </w:rPr>
              <w:t>FFS if the same mechanism can also be used in idle (like in NR-NTN)</w:t>
            </w:r>
          </w:p>
          <w:p>
            <w:pPr>
              <w:pStyle w:val="25"/>
              <w:keepNext w:val="0"/>
              <w:keepLines w:val="0"/>
              <w:numPr>
                <w:ilvl w:val="0"/>
                <w:numId w:val="1"/>
              </w:numPr>
              <w:suppressLineNumbers w:val="0"/>
              <w:spacing w:before="0" w:beforeAutospacing="0" w:after="0" w:afterAutospacing="0"/>
              <w:ind w:right="0"/>
              <w:rPr>
                <w:rFonts w:hint="default" w:ascii="Arial" w:hAnsi="Arial" w:cs="Arial"/>
                <w:b/>
                <w:bCs/>
                <w:highlight w:val="none"/>
              </w:rPr>
            </w:pPr>
            <w:r>
              <w:rPr>
                <w:rFonts w:hint="default" w:ascii="Arial" w:hAnsi="Arial" w:cs="Arial"/>
                <w:b/>
                <w:bCs/>
                <w:highlight w:val="none"/>
              </w:rPr>
              <w:t xml:space="preserve">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w:t>
            </w:r>
          </w:p>
          <w:p>
            <w:pPr>
              <w:pStyle w:val="25"/>
              <w:keepNext w:val="0"/>
              <w:keepLines w:val="0"/>
              <w:numPr>
                <w:ilvl w:val="0"/>
                <w:numId w:val="1"/>
              </w:numPr>
              <w:suppressLineNumbers w:val="0"/>
              <w:spacing w:before="0" w:beforeAutospacing="0" w:after="0" w:afterAutospacing="0"/>
              <w:ind w:right="0"/>
              <w:rPr>
                <w:rFonts w:ascii="Arial" w:hAnsi="Arial" w:eastAsia="宋体" w:cs="Arial"/>
                <w:kern w:val="0"/>
                <w:sz w:val="21"/>
                <w:szCs w:val="21"/>
                <w:vertAlign w:val="baseline"/>
                <w:lang w:val="en-GB" w:eastAsia="en-US"/>
              </w:rPr>
            </w:pPr>
            <w:r>
              <w:rPr>
                <w:rFonts w:hint="default" w:ascii="Arial" w:hAnsi="Arial" w:cs="Arial"/>
                <w:b/>
                <w:bCs/>
                <w:highlight w:val="none"/>
              </w:rPr>
              <w:t>FFS if the same mechanism can also be used in idle (like in NR-NTN)</w:t>
            </w:r>
          </w:p>
          <w:p>
            <w:pPr>
              <w:pStyle w:val="25"/>
              <w:numPr>
                <w:ilvl w:val="0"/>
                <w:numId w:val="1"/>
              </w:numPr>
              <w:rPr>
                <w:rFonts w:ascii="Arial" w:hAnsi="Arial" w:eastAsia="宋体" w:cs="Arial"/>
                <w:kern w:val="0"/>
                <w:sz w:val="21"/>
                <w:szCs w:val="21"/>
                <w:vertAlign w:val="baseline"/>
                <w:lang w:val="en-GB" w:eastAsia="en-US"/>
              </w:rPr>
            </w:pPr>
            <w:r>
              <w:rPr>
                <w:b/>
                <w:bCs/>
              </w:rPr>
              <w:t>We don’t introduce any new low mobility criterion for enhanced mobility in Rel-18</w:t>
            </w:r>
          </w:p>
        </w:tc>
      </w:tr>
    </w:tbl>
    <w:p>
      <w:pPr>
        <w:widowControl/>
        <w:spacing w:beforeLines="50" w:after="180"/>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remaining issues</w:t>
      </w:r>
      <w:r>
        <w:rPr>
          <w:rFonts w:hint="eastAsia" w:ascii="Arial" w:hAnsi="Arial" w:eastAsia="宋体" w:cs="Arial"/>
          <w:kern w:val="0"/>
          <w:sz w:val="20"/>
          <w:szCs w:val="20"/>
        </w:rPr>
        <w:t xml:space="preserve"> for </w:t>
      </w:r>
      <w:r>
        <w:rPr>
          <w:rFonts w:hint="eastAsia" w:ascii="Arial" w:hAnsi="Arial" w:eastAsia="宋体" w:cs="Arial"/>
          <w:kern w:val="0"/>
          <w:sz w:val="20"/>
          <w:szCs w:val="20"/>
          <w:lang w:val="en-US" w:eastAsia="zh-CN"/>
        </w:rPr>
        <w:t>neighbour cell measurements and CHO enhancements</w:t>
      </w:r>
      <w:r>
        <w:rPr>
          <w:rFonts w:ascii="Arial" w:hAnsi="Arial" w:eastAsia="宋体" w:cs="Arial"/>
          <w:kern w:val="0"/>
          <w:sz w:val="20"/>
          <w:szCs w:val="20"/>
          <w:lang w:val="en-GB"/>
        </w:rPr>
        <w:t>.</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hint="eastAsia" w:ascii="Arial" w:hAnsi="Arial" w:eastAsia="宋体" w:cs="Arial"/>
          <w:kern w:val="0"/>
          <w:sz w:val="32"/>
          <w:szCs w:val="20"/>
          <w:lang w:val="en-US" w:eastAsia="zh-CN"/>
        </w:rPr>
        <w:t xml:space="preserve">2.1 </w:t>
      </w:r>
      <w:r>
        <w:rPr>
          <w:rFonts w:hint="eastAsia" w:ascii="Arial" w:hAnsi="Arial" w:eastAsia="宋体" w:cs="Arial"/>
          <w:kern w:val="0"/>
          <w:sz w:val="32"/>
          <w:szCs w:val="20"/>
          <w:lang w:val="en-GB"/>
        </w:rPr>
        <w:t>M</w:t>
      </w:r>
      <w:r>
        <w:rPr>
          <w:rFonts w:hint="eastAsia" w:ascii="Arial" w:hAnsi="Arial" w:eastAsia="宋体" w:cs="Arial"/>
          <w:kern w:val="0"/>
          <w:sz w:val="32"/>
          <w:szCs w:val="20"/>
        </w:rPr>
        <w:t>easurement enhancements</w:t>
      </w:r>
      <w:r>
        <w:rPr>
          <w:rFonts w:hint="eastAsia" w:ascii="Arial" w:hAnsi="Arial" w:eastAsia="宋体" w:cs="Arial"/>
          <w:kern w:val="0"/>
          <w:sz w:val="32"/>
          <w:szCs w:val="20"/>
          <w:lang w:val="en-US" w:eastAsia="zh-CN"/>
        </w:rPr>
        <w:t xml:space="preserve"> for NB-IoT NTN</w:t>
      </w:r>
    </w:p>
    <w:p>
      <w:pPr>
        <w:widowControl/>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agreed to introduce the</w:t>
      </w:r>
      <w:r>
        <w:rPr>
          <w:rFonts w:hint="eastAsia" w:ascii="Arial" w:hAnsi="Arial" w:eastAsia="宋体" w:cs="Arial"/>
          <w:kern w:val="0"/>
          <w:sz w:val="20"/>
          <w:szCs w:val="20"/>
        </w:rPr>
        <w:t xml:space="preserve"> distance-based trigger </w:t>
      </w:r>
      <w:r>
        <w:rPr>
          <w:rFonts w:hint="eastAsia" w:ascii="Arial" w:hAnsi="Arial" w:eastAsia="宋体" w:cs="Arial"/>
          <w:kern w:val="0"/>
          <w:sz w:val="20"/>
          <w:szCs w:val="20"/>
          <w:lang w:val="en-US" w:eastAsia="zh-CN"/>
        </w:rPr>
        <w:t>for quasi-Earth-fixed cell and earth-moving cell</w:t>
      </w:r>
      <w:r>
        <w:rPr>
          <w:rFonts w:hint="eastAsia" w:ascii="Arial" w:hAnsi="Arial" w:eastAsia="宋体" w:cs="Arial"/>
          <w:kern w:val="0"/>
          <w:sz w:val="20"/>
          <w:szCs w:val="20"/>
        </w:rPr>
        <w:t xml:space="preserve">. </w:t>
      </w:r>
      <w:r>
        <w:rPr>
          <w:rFonts w:hint="eastAsia" w:ascii="Arial" w:hAnsi="Arial" w:eastAsia="宋体" w:cs="Arial"/>
          <w:kern w:val="0"/>
          <w:sz w:val="20"/>
          <w:szCs w:val="20"/>
          <w:lang w:val="en-US" w:eastAsia="zh-CN"/>
        </w:rPr>
        <w:t xml:space="preserve">But </w:t>
      </w:r>
      <w:r>
        <w:rPr>
          <w:rFonts w:hint="eastAsia" w:ascii="Arial" w:hAnsi="Arial" w:eastAsia="宋体" w:cs="Arial"/>
          <w:kern w:val="0"/>
          <w:sz w:val="20"/>
          <w:szCs w:val="20"/>
        </w:rPr>
        <w:t xml:space="preserve">whether the R17 IEs </w:t>
      </w:r>
      <w:r>
        <w:rPr>
          <w:rFonts w:hint="eastAsia" w:ascii="Arial" w:hAnsi="Arial" w:eastAsia="宋体" w:cs="Arial"/>
          <w:kern w:val="0"/>
          <w:sz w:val="20"/>
          <w:szCs w:val="20"/>
          <w:lang w:val="en-US" w:eastAsia="zh-CN"/>
        </w:rPr>
        <w:t>can be</w:t>
      </w:r>
      <w:r>
        <w:rPr>
          <w:rFonts w:hint="eastAsia" w:ascii="Arial" w:hAnsi="Arial" w:eastAsia="宋体" w:cs="Arial"/>
          <w:kern w:val="0"/>
          <w:sz w:val="20"/>
          <w:szCs w:val="20"/>
        </w:rPr>
        <w:t xml:space="preserve"> reused </w:t>
      </w:r>
      <w:r>
        <w:rPr>
          <w:rFonts w:hint="eastAsia" w:ascii="Arial" w:hAnsi="Arial" w:eastAsia="宋体" w:cs="Arial"/>
          <w:kern w:val="0"/>
          <w:sz w:val="20"/>
          <w:szCs w:val="20"/>
          <w:lang w:val="en-US" w:eastAsia="zh-CN"/>
        </w:rPr>
        <w:t>is FFS. And for earth-moving cell, whether additional information needs to be broadcasted to inform the UE how the reference location moves over time or if this can be derived from other information (e.g. Epoch time and ephemeris) is also FFS.</w:t>
      </w:r>
    </w:p>
    <w:p>
      <w:pPr>
        <w:widowControl/>
        <w:spacing w:after="180"/>
        <w:rPr>
          <w:rFonts w:hint="eastAsia" w:ascii="Arial" w:hAnsi="Arial" w:eastAsia="宋体" w:cs="Arial"/>
          <w:b w:val="0"/>
          <w:bCs w:val="0"/>
          <w:kern w:val="0"/>
          <w:sz w:val="20"/>
          <w:szCs w:val="20"/>
          <w:lang w:val="en-US" w:eastAsia="zh-CN"/>
        </w:rPr>
      </w:pPr>
      <w:r>
        <w:rPr>
          <w:rFonts w:hint="eastAsia" w:ascii="Arial" w:hAnsi="Arial" w:eastAsia="宋体" w:cs="Arial"/>
          <w:b w:val="0"/>
          <w:bCs w:val="0"/>
          <w:kern w:val="0"/>
          <w:sz w:val="20"/>
          <w:szCs w:val="20"/>
          <w:lang w:val="en-US" w:eastAsia="zh-CN"/>
        </w:rPr>
        <w:t xml:space="preserve">In R17 NR NTN, the </w:t>
      </w:r>
      <w:r>
        <w:rPr>
          <w:rFonts w:hint="eastAsia" w:ascii="Arial" w:hAnsi="Arial" w:eastAsia="宋体" w:cs="Arial"/>
          <w:b w:val="0"/>
          <w:bCs w:val="0"/>
          <w:i/>
          <w:iCs/>
          <w:kern w:val="0"/>
          <w:sz w:val="20"/>
          <w:szCs w:val="20"/>
          <w:lang w:val="en-US" w:eastAsia="zh-CN"/>
        </w:rPr>
        <w:t xml:space="preserve">referenceLocation </w:t>
      </w:r>
      <w:r>
        <w:rPr>
          <w:rFonts w:hint="eastAsia" w:ascii="Arial" w:hAnsi="Arial" w:eastAsia="宋体" w:cs="Arial"/>
          <w:b w:val="0"/>
          <w:bCs w:val="0"/>
          <w:kern w:val="0"/>
          <w:sz w:val="20"/>
          <w:szCs w:val="20"/>
          <w:lang w:val="en-US" w:eastAsia="zh-CN"/>
        </w:rPr>
        <w:t xml:space="preserve">IE and </w:t>
      </w:r>
      <w:r>
        <w:rPr>
          <w:rFonts w:hint="eastAsia" w:ascii="Arial" w:hAnsi="Arial" w:eastAsia="宋体" w:cs="Arial"/>
          <w:b w:val="0"/>
          <w:bCs w:val="0"/>
          <w:i/>
          <w:iCs/>
          <w:kern w:val="0"/>
          <w:sz w:val="20"/>
          <w:szCs w:val="20"/>
          <w:lang w:val="en-US" w:eastAsia="zh-CN"/>
        </w:rPr>
        <w:t xml:space="preserve">distanceThresh </w:t>
      </w:r>
      <w:r>
        <w:rPr>
          <w:rFonts w:hint="eastAsia" w:ascii="Arial" w:hAnsi="Arial" w:eastAsia="宋体" w:cs="Arial"/>
          <w:b w:val="0"/>
          <w:bCs w:val="0"/>
          <w:kern w:val="0"/>
          <w:sz w:val="20"/>
          <w:szCs w:val="20"/>
          <w:lang w:val="en-US" w:eastAsia="zh-CN"/>
        </w:rPr>
        <w:t xml:space="preserve">IE are introduced for </w:t>
      </w:r>
      <w:r>
        <w:rPr>
          <w:rFonts w:hint="eastAsia" w:ascii="Arial" w:hAnsi="Arial" w:eastAsia="宋体" w:cs="Arial"/>
          <w:kern w:val="0"/>
          <w:sz w:val="20"/>
          <w:szCs w:val="20"/>
          <w:lang w:val="en-US" w:eastAsia="zh-CN"/>
        </w:rPr>
        <w:t>quasi-Earth-</w:t>
      </w:r>
      <w:r>
        <w:rPr>
          <w:rFonts w:hint="eastAsia" w:ascii="Arial" w:hAnsi="Arial" w:eastAsia="宋体" w:cs="Arial"/>
          <w:b w:val="0"/>
          <w:bCs w:val="0"/>
          <w:kern w:val="0"/>
          <w:sz w:val="20"/>
          <w:szCs w:val="20"/>
          <w:lang w:val="en-US" w:eastAsia="zh-CN"/>
        </w:rPr>
        <w:t>fixed cell in SIB19</w:t>
      </w:r>
      <w:r>
        <w:rPr>
          <w:rFonts w:hint="eastAsia" w:ascii="Arial" w:hAnsi="Arial" w:eastAsia="宋体" w:cs="Arial"/>
          <w:b w:val="0"/>
          <w:bCs w:val="0"/>
          <w:kern w:val="0"/>
          <w:sz w:val="20"/>
          <w:szCs w:val="20"/>
        </w:rPr>
        <w:t>.</w:t>
      </w:r>
      <w:r>
        <w:rPr>
          <w:rFonts w:hint="eastAsia" w:ascii="Arial" w:hAnsi="Arial" w:eastAsia="宋体" w:cs="Arial"/>
          <w:b w:val="0"/>
          <w:bCs w:val="0"/>
          <w:kern w:val="0"/>
          <w:sz w:val="20"/>
          <w:szCs w:val="20"/>
          <w:lang w:val="en-US" w:eastAsia="zh-CN"/>
        </w:rPr>
        <w:t xml:space="preserve"> For IoT-NTN, we suggest that the similar IEs can be introduced for serving cell in SIB31.</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 The </w:t>
      </w:r>
      <w:r>
        <w:rPr>
          <w:rFonts w:hint="eastAsia" w:ascii="Arial" w:hAnsi="Arial" w:eastAsia="宋体" w:cs="Arial"/>
          <w:b/>
          <w:bCs/>
          <w:i/>
          <w:iCs/>
          <w:kern w:val="0"/>
          <w:sz w:val="20"/>
          <w:szCs w:val="20"/>
          <w:lang w:val="en-US" w:eastAsia="zh-CN"/>
        </w:rPr>
        <w:t xml:space="preserve">referenceLocation </w:t>
      </w:r>
      <w:r>
        <w:rPr>
          <w:rFonts w:hint="eastAsia" w:ascii="Arial" w:hAnsi="Arial" w:eastAsia="宋体" w:cs="Arial"/>
          <w:b/>
          <w:bCs/>
          <w:kern w:val="0"/>
          <w:sz w:val="20"/>
          <w:szCs w:val="20"/>
          <w:lang w:val="en-US" w:eastAsia="zh-CN"/>
        </w:rPr>
        <w:t xml:space="preserve">IE and </w:t>
      </w:r>
      <w:r>
        <w:rPr>
          <w:rFonts w:hint="eastAsia" w:ascii="Arial" w:hAnsi="Arial" w:eastAsia="宋体" w:cs="Arial"/>
          <w:b/>
          <w:bCs/>
          <w:i/>
          <w:iCs/>
          <w:kern w:val="0"/>
          <w:sz w:val="20"/>
          <w:szCs w:val="20"/>
          <w:lang w:val="en-US" w:eastAsia="zh-CN"/>
        </w:rPr>
        <w:t xml:space="preserve">distanceThresh </w:t>
      </w:r>
      <w:r>
        <w:rPr>
          <w:rFonts w:hint="eastAsia" w:ascii="Arial" w:hAnsi="Arial" w:eastAsia="宋体" w:cs="Arial"/>
          <w:b/>
          <w:bCs/>
          <w:kern w:val="0"/>
          <w:sz w:val="20"/>
          <w:szCs w:val="20"/>
          <w:lang w:val="en-US" w:eastAsia="zh-CN"/>
        </w:rPr>
        <w:t>IE are introduced for quasi-Earth-fixed cell and earth-moving cell in SIB31.</w:t>
      </w:r>
    </w:p>
    <w:p>
      <w:pPr>
        <w:widowControl/>
        <w:numPr>
          <w:ilvl w:val="0"/>
          <w:numId w:val="0"/>
        </w:numPr>
        <w:spacing w:after="180"/>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For earth-moving cell, the reference location of serving cell is always changed </w:t>
      </w:r>
      <w:r>
        <w:rPr>
          <w:rFonts w:hint="eastAsia" w:ascii="Arial" w:hAnsi="Arial" w:eastAsia="宋体" w:cs="Arial"/>
          <w:kern w:val="0"/>
          <w:sz w:val="21"/>
          <w:szCs w:val="21"/>
        </w:rPr>
        <w:t>with the moving of the satellite</w:t>
      </w:r>
      <w:r>
        <w:rPr>
          <w:rFonts w:hint="eastAsia" w:ascii="Arial" w:hAnsi="Arial" w:eastAsia="宋体" w:cs="Arial"/>
          <w:kern w:val="0"/>
          <w:sz w:val="20"/>
          <w:szCs w:val="20"/>
          <w:lang w:val="en-US" w:eastAsia="zh-CN"/>
        </w:rPr>
        <w:t>. whether additional information needs to be broadcast to inform the UE how the reference location moves over time or if this can be derived from other information (e.g. Epoch time and ephemeris) should be specified. The same issue is also discussed in R18 NR NTN, we suggest to wait the progress of NR NTN and adopt the same mechanism to NR NTN for IoT-NTN.</w:t>
      </w:r>
    </w:p>
    <w:p>
      <w:pPr>
        <w:widowControl/>
        <w:numPr>
          <w:ilvl w:val="0"/>
          <w:numId w:val="0"/>
        </w:numPr>
        <w:spacing w:after="180"/>
        <w:rPr>
          <w:rFonts w:hint="eastAsia" w:ascii="Arial" w:hAnsi="Arial" w:eastAsia="宋体" w:cs="Arial"/>
          <w:b/>
          <w:bCs/>
          <w:kern w:val="0"/>
          <w:sz w:val="20"/>
          <w:szCs w:val="20"/>
        </w:rPr>
      </w:pPr>
      <w:r>
        <w:rPr>
          <w:rFonts w:hint="eastAsia" w:ascii="Arial" w:hAnsi="Arial" w:eastAsia="宋体" w:cs="Arial"/>
          <w:b/>
          <w:bCs/>
          <w:kern w:val="0"/>
          <w:sz w:val="20"/>
          <w:szCs w:val="20"/>
          <w:lang w:val="en-US" w:eastAsia="zh-CN"/>
        </w:rPr>
        <w:t xml:space="preserve">Proposal 2: For the additional information to derive the reference location of earth-moving cell, the </w:t>
      </w:r>
      <w:r>
        <w:rPr>
          <w:rFonts w:hint="eastAsia" w:ascii="Arial" w:hAnsi="Arial" w:cs="Arial"/>
          <w:b/>
          <w:bCs/>
          <w:sz w:val="20"/>
          <w:szCs w:val="21"/>
          <w:lang w:val="en-US" w:eastAsia="zh-CN"/>
        </w:rPr>
        <w:t xml:space="preserve">details of </w:t>
      </w:r>
      <w:r>
        <w:rPr>
          <w:rFonts w:hint="default" w:ascii="Arial" w:hAnsi="Arial" w:cs="Arial"/>
          <w:b/>
          <w:bCs/>
          <w:sz w:val="20"/>
          <w:szCs w:val="21"/>
          <w:lang w:val="en-US" w:eastAsia="zh-CN"/>
        </w:rPr>
        <w:t xml:space="preserve">additional information </w:t>
      </w:r>
      <w:r>
        <w:rPr>
          <w:rFonts w:hint="eastAsia" w:ascii="Arial" w:hAnsi="Arial" w:cs="Arial"/>
          <w:b/>
          <w:bCs/>
          <w:sz w:val="20"/>
          <w:szCs w:val="21"/>
          <w:lang w:val="en-US" w:eastAsia="zh-CN"/>
        </w:rPr>
        <w:t xml:space="preserve">can </w:t>
      </w:r>
      <w:r>
        <w:rPr>
          <w:rFonts w:hint="default" w:ascii="Arial" w:hAnsi="Arial" w:cs="Arial"/>
          <w:b/>
          <w:bCs/>
          <w:sz w:val="20"/>
          <w:szCs w:val="21"/>
          <w:lang w:val="en-US" w:eastAsia="zh-CN"/>
        </w:rPr>
        <w:t xml:space="preserve">wait </w:t>
      </w:r>
      <w:r>
        <w:rPr>
          <w:rFonts w:hint="eastAsia" w:ascii="Arial" w:hAnsi="Arial" w:cs="Arial"/>
          <w:b/>
          <w:bCs/>
          <w:sz w:val="20"/>
          <w:szCs w:val="21"/>
          <w:lang w:val="en-US" w:eastAsia="zh-CN"/>
        </w:rPr>
        <w:t xml:space="preserve">the </w:t>
      </w:r>
      <w:r>
        <w:rPr>
          <w:rFonts w:hint="default" w:ascii="Arial" w:hAnsi="Arial" w:cs="Arial"/>
          <w:b/>
          <w:bCs/>
          <w:sz w:val="20"/>
          <w:szCs w:val="21"/>
          <w:lang w:val="en-US" w:eastAsia="zh-CN"/>
        </w:rPr>
        <w:t>progress</w:t>
      </w:r>
      <w:r>
        <w:rPr>
          <w:rFonts w:hint="eastAsia" w:ascii="Arial" w:hAnsi="Arial" w:cs="Arial"/>
          <w:b/>
          <w:bCs/>
          <w:sz w:val="20"/>
          <w:szCs w:val="21"/>
          <w:lang w:val="en-US" w:eastAsia="zh-CN"/>
        </w:rPr>
        <w:t xml:space="preserve"> of </w:t>
      </w:r>
      <w:r>
        <w:rPr>
          <w:rFonts w:hint="default" w:ascii="Arial" w:hAnsi="Arial" w:cs="Arial"/>
          <w:b/>
          <w:bCs/>
          <w:sz w:val="20"/>
          <w:szCs w:val="21"/>
          <w:lang w:val="en-US" w:eastAsia="zh-CN"/>
        </w:rPr>
        <w:t xml:space="preserve">NR NTN </w:t>
      </w:r>
      <w:r>
        <w:rPr>
          <w:rFonts w:hint="eastAsia" w:ascii="Arial" w:hAnsi="Arial" w:cs="Arial"/>
          <w:b/>
          <w:bCs/>
          <w:sz w:val="20"/>
          <w:szCs w:val="21"/>
          <w:lang w:val="en-US" w:eastAsia="zh-CN"/>
        </w:rPr>
        <w:t xml:space="preserve">WI and the </w:t>
      </w:r>
      <w:r>
        <w:rPr>
          <w:rFonts w:hint="eastAsia" w:ascii="Arial" w:hAnsi="Arial" w:eastAsia="宋体" w:cs="Arial"/>
          <w:b/>
          <w:bCs/>
          <w:kern w:val="0"/>
          <w:sz w:val="20"/>
          <w:szCs w:val="20"/>
          <w:lang w:val="en-US" w:eastAsia="zh-CN"/>
        </w:rPr>
        <w:t>same mechanism to NR NTN can be reused</w:t>
      </w:r>
      <w:r>
        <w:rPr>
          <w:rFonts w:hint="eastAsia" w:ascii="Arial" w:hAnsi="Arial" w:eastAsia="宋体" w:cs="Arial"/>
          <w:b/>
          <w:bCs/>
          <w:kern w:val="0"/>
          <w:sz w:val="20"/>
          <w:szCs w:val="20"/>
        </w:rPr>
        <w:t>.</w:t>
      </w:r>
    </w:p>
    <w:p>
      <w:pPr>
        <w:widowControl/>
        <w:numPr>
          <w:ilvl w:val="0"/>
          <w:numId w:val="0"/>
        </w:numPr>
        <w:spacing w:after="180"/>
        <w:rPr>
          <w:rFonts w:hint="eastAsia" w:ascii="Arial" w:hAnsi="Arial" w:eastAsia="宋体" w:cs="Arial"/>
          <w:b w:val="0"/>
          <w:bCs w:val="0"/>
          <w:kern w:val="0"/>
          <w:sz w:val="20"/>
          <w:szCs w:val="20"/>
        </w:rPr>
      </w:pPr>
      <w:r>
        <w:rPr>
          <w:rFonts w:hint="eastAsia" w:ascii="Arial" w:hAnsi="Arial" w:eastAsia="宋体" w:cs="Arial"/>
          <w:b w:val="0"/>
          <w:bCs w:val="0"/>
          <w:kern w:val="0"/>
          <w:sz w:val="20"/>
          <w:szCs w:val="20"/>
          <w:lang w:val="en-US" w:eastAsia="zh-CN"/>
        </w:rPr>
        <w:t xml:space="preserve">Since the above information is </w:t>
      </w:r>
      <w:r>
        <w:rPr>
          <w:rFonts w:hint="eastAsia" w:ascii="Arial" w:hAnsi="Arial" w:eastAsia="宋体" w:cs="Arial"/>
          <w:b w:val="0"/>
          <w:bCs w:val="0"/>
          <w:kern w:val="0"/>
          <w:sz w:val="20"/>
          <w:szCs w:val="20"/>
        </w:rPr>
        <w:t xml:space="preserve">broadcast in system information, we understand that there is no limitation for RRC state and the information can </w:t>
      </w:r>
      <w:r>
        <w:rPr>
          <w:rFonts w:hint="eastAsia" w:ascii="Arial" w:hAnsi="Arial" w:eastAsia="宋体" w:cs="Arial"/>
          <w:b w:val="0"/>
          <w:bCs w:val="0"/>
          <w:kern w:val="0"/>
          <w:sz w:val="20"/>
          <w:szCs w:val="20"/>
          <w:lang w:val="en-US" w:eastAsia="zh-CN"/>
        </w:rPr>
        <w:t xml:space="preserve">also </w:t>
      </w:r>
      <w:r>
        <w:rPr>
          <w:rFonts w:hint="eastAsia" w:ascii="Arial" w:hAnsi="Arial" w:eastAsia="宋体" w:cs="Arial"/>
          <w:b w:val="0"/>
          <w:bCs w:val="0"/>
          <w:kern w:val="0"/>
          <w:sz w:val="20"/>
          <w:szCs w:val="20"/>
        </w:rPr>
        <w:t>be used for neighbour cell measurement for RRC_IDLE</w:t>
      </w:r>
      <w:r>
        <w:rPr>
          <w:rFonts w:hint="eastAsia" w:ascii="Arial" w:hAnsi="Arial" w:eastAsia="宋体" w:cs="Arial"/>
          <w:b w:val="0"/>
          <w:bCs w:val="0"/>
          <w:kern w:val="0"/>
          <w:sz w:val="20"/>
          <w:szCs w:val="20"/>
          <w:lang w:val="en-US" w:eastAsia="zh-CN"/>
        </w:rPr>
        <w:t>, and the exact time to start neighbor cell measurement is up to UE implementation</w:t>
      </w:r>
      <w:r>
        <w:rPr>
          <w:rFonts w:hint="eastAsia" w:ascii="Arial" w:hAnsi="Arial" w:eastAsia="宋体" w:cs="Arial"/>
          <w:b w:val="0"/>
          <w:bCs w:val="0"/>
          <w:kern w:val="0"/>
          <w:sz w:val="20"/>
          <w:szCs w:val="20"/>
        </w:rPr>
        <w:t>.</w:t>
      </w:r>
    </w:p>
    <w:p>
      <w:pPr>
        <w:widowControl/>
        <w:numPr>
          <w:ilvl w:val="0"/>
          <w:numId w:val="0"/>
        </w:numPr>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same triggered mechanism for neighbor cell measurement can also be reused in RRC_IDLE state.</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hint="eastAsia" w:ascii="Arial" w:hAnsi="Arial" w:eastAsia="宋体" w:cs="Arial"/>
          <w:kern w:val="0"/>
          <w:sz w:val="32"/>
          <w:szCs w:val="20"/>
          <w:lang w:val="en-GB"/>
        </w:rPr>
        <w:t>M</w:t>
      </w:r>
      <w:r>
        <w:rPr>
          <w:rFonts w:hint="eastAsia" w:ascii="Arial" w:hAnsi="Arial" w:eastAsia="宋体" w:cs="Arial"/>
          <w:kern w:val="0"/>
          <w:sz w:val="32"/>
          <w:szCs w:val="20"/>
        </w:rPr>
        <w:t>easurement enhancements</w:t>
      </w:r>
      <w:r>
        <w:rPr>
          <w:rFonts w:hint="eastAsia" w:ascii="Arial" w:hAnsi="Arial" w:eastAsia="宋体" w:cs="Arial"/>
          <w:kern w:val="0"/>
          <w:sz w:val="32"/>
          <w:szCs w:val="20"/>
          <w:lang w:val="en-US" w:eastAsia="zh-CN"/>
        </w:rPr>
        <w:t xml:space="preserve"> for eMTC NTN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F</w:t>
      </w:r>
      <w:r>
        <w:rPr>
          <w:rFonts w:hint="eastAsia" w:ascii="Arial" w:hAnsi="Arial" w:eastAsia="宋体" w:cs="Arial"/>
          <w:kern w:val="0"/>
          <w:sz w:val="20"/>
          <w:szCs w:val="20"/>
          <w:lang w:eastAsia="zh-CN"/>
        </w:rPr>
        <w:t>or eMTC UE, it can always perform the neighbor cell measurement in connected</w:t>
      </w:r>
      <w:r>
        <w:rPr>
          <w:rFonts w:hint="eastAsia" w:ascii="Arial" w:hAnsi="Arial" w:eastAsia="宋体" w:cs="Arial"/>
          <w:kern w:val="0"/>
          <w:sz w:val="20"/>
          <w:szCs w:val="20"/>
          <w:lang w:val="en-US" w:eastAsia="zh-CN"/>
        </w:rPr>
        <w:t xml:space="preserve"> mode. In addition,</w:t>
      </w:r>
      <w:r>
        <w:rPr>
          <w:rFonts w:hint="eastAsia" w:ascii="Arial" w:hAnsi="Arial" w:eastAsia="宋体" w:cs="Arial"/>
          <w:kern w:val="0"/>
          <w:sz w:val="20"/>
          <w:szCs w:val="20"/>
          <w:lang w:eastAsia="zh-CN"/>
        </w:rPr>
        <w:t xml:space="preserve"> </w:t>
      </w:r>
      <w:r>
        <w:rPr>
          <w:rFonts w:hint="eastAsia" w:ascii="Arial" w:hAnsi="Arial" w:eastAsia="宋体" w:cs="Arial"/>
          <w:kern w:val="0"/>
          <w:sz w:val="20"/>
          <w:szCs w:val="20"/>
          <w:lang w:val="en-US" w:eastAsia="zh-CN"/>
        </w:rPr>
        <w:t xml:space="preserve">RAN2 has agreed to introduce </w:t>
      </w:r>
      <w:r>
        <w:rPr>
          <w:rFonts w:hint="eastAsia" w:ascii="Arial" w:hAnsi="Arial" w:eastAsia="宋体" w:cs="Arial"/>
          <w:kern w:val="0"/>
          <w:sz w:val="20"/>
          <w:szCs w:val="20"/>
          <w:lang w:eastAsia="zh-CN"/>
        </w:rPr>
        <w:t>the time</w:t>
      </w:r>
      <w:r>
        <w:rPr>
          <w:rFonts w:hint="eastAsia" w:ascii="Arial" w:hAnsi="Arial" w:eastAsia="宋体" w:cs="Arial"/>
          <w:kern w:val="0"/>
          <w:sz w:val="20"/>
          <w:szCs w:val="20"/>
          <w:lang w:val="en-US" w:eastAsia="zh-CN"/>
        </w:rPr>
        <w:t>-</w:t>
      </w:r>
      <w:r>
        <w:rPr>
          <w:rFonts w:hint="eastAsia" w:ascii="Arial" w:hAnsi="Arial" w:eastAsia="宋体" w:cs="Arial"/>
          <w:kern w:val="0"/>
          <w:sz w:val="20"/>
          <w:szCs w:val="20"/>
          <w:lang w:eastAsia="zh-CN"/>
        </w:rPr>
        <w:t>base</w:t>
      </w:r>
      <w:r>
        <w:rPr>
          <w:rFonts w:hint="eastAsia" w:ascii="Arial" w:hAnsi="Arial" w:eastAsia="宋体" w:cs="Arial"/>
          <w:kern w:val="0"/>
          <w:sz w:val="20"/>
          <w:szCs w:val="20"/>
          <w:lang w:val="en-US" w:eastAsia="zh-CN"/>
        </w:rPr>
        <w:t>d</w:t>
      </w:r>
      <w:r>
        <w:rPr>
          <w:rFonts w:hint="eastAsia" w:ascii="Arial" w:hAnsi="Arial" w:eastAsia="宋体" w:cs="Arial"/>
          <w:kern w:val="0"/>
          <w:sz w:val="20"/>
          <w:szCs w:val="20"/>
          <w:lang w:eastAsia="zh-CN"/>
        </w:rPr>
        <w:t xml:space="preserve"> and location</w:t>
      </w:r>
      <w:r>
        <w:rPr>
          <w:rFonts w:hint="eastAsia" w:ascii="Arial" w:hAnsi="Arial" w:eastAsia="宋体" w:cs="Arial"/>
          <w:kern w:val="0"/>
          <w:sz w:val="20"/>
          <w:szCs w:val="20"/>
          <w:lang w:val="en-US" w:eastAsia="zh-CN"/>
        </w:rPr>
        <w:t>-</w:t>
      </w:r>
      <w:r>
        <w:rPr>
          <w:rFonts w:hint="eastAsia" w:ascii="Arial" w:hAnsi="Arial" w:eastAsia="宋体" w:cs="Arial"/>
          <w:kern w:val="0"/>
          <w:sz w:val="20"/>
          <w:szCs w:val="20"/>
          <w:lang w:eastAsia="zh-CN"/>
        </w:rPr>
        <w:t xml:space="preserve">based CHO </w:t>
      </w:r>
      <w:r>
        <w:rPr>
          <w:rFonts w:hint="eastAsia" w:ascii="Arial" w:hAnsi="Arial" w:eastAsia="宋体" w:cs="Arial"/>
          <w:kern w:val="0"/>
          <w:sz w:val="20"/>
          <w:szCs w:val="20"/>
          <w:lang w:val="en-US" w:eastAsia="zh-CN"/>
        </w:rPr>
        <w:t>for eMTC NTN, the UE can perform neighbor cell measurements for CHO.</w:t>
      </w:r>
      <w:r>
        <w:rPr>
          <w:rFonts w:hint="eastAsia" w:ascii="Arial" w:hAnsi="Arial" w:eastAsia="宋体" w:cs="Arial"/>
          <w:kern w:val="0"/>
          <w:sz w:val="20"/>
          <w:szCs w:val="20"/>
          <w:lang w:eastAsia="zh-CN"/>
        </w:rPr>
        <w:t xml:space="preserve"> </w:t>
      </w:r>
      <w:r>
        <w:rPr>
          <w:rFonts w:hint="eastAsia" w:ascii="Arial" w:hAnsi="Arial" w:eastAsia="宋体" w:cs="Arial"/>
          <w:kern w:val="0"/>
          <w:sz w:val="20"/>
          <w:szCs w:val="20"/>
          <w:lang w:val="en-US" w:eastAsia="zh-CN"/>
        </w:rPr>
        <w:t>Therefore</w:t>
      </w:r>
      <w:r>
        <w:rPr>
          <w:rFonts w:hint="eastAsia" w:ascii="Arial" w:hAnsi="Arial" w:eastAsia="宋体" w:cs="Arial"/>
          <w:kern w:val="0"/>
          <w:sz w:val="20"/>
          <w:szCs w:val="20"/>
          <w:lang w:eastAsia="zh-CN"/>
        </w:rPr>
        <w:t>, there is no need to introduce the new trigger for neighbour cell measurement. On the contrary</w:t>
      </w:r>
      <w:r>
        <w:rPr>
          <w:rFonts w:hint="eastAsia" w:ascii="Arial" w:hAnsi="Arial" w:eastAsia="宋体" w:cs="Arial"/>
          <w:kern w:val="0"/>
          <w:sz w:val="20"/>
          <w:szCs w:val="20"/>
          <w:lang w:val="en-US" w:eastAsia="zh-CN"/>
        </w:rPr>
        <w:t xml:space="preserve">, if we introduce the new trigger for measurement, for example, the UE performs neighbor cell measurements when the serving cell is to stop serving the current area or when the UE is in the cell edge, we think the measurement is too late for CHO. </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4: For eMTC over NTN, it is proposed not to introduce new trigger for connected mode neighbor cell measurement, just reusing the measurement triggering mechanism for NR NTN.</w:t>
      </w:r>
    </w:p>
    <w:p>
      <w:pPr>
        <w:keepNext/>
        <w:keepLines/>
        <w:widowControl/>
        <w:spacing w:before="180" w:after="180"/>
        <w:ind w:left="1134" w:hanging="1134"/>
        <w:jc w:val="left"/>
        <w:outlineLvl w:val="1"/>
        <w:rPr>
          <w:rFonts w:hint="default" w:ascii="Arial" w:hAnsi="Arial" w:eastAsia="宋体" w:cs="Arial"/>
          <w:kern w:val="0"/>
          <w:sz w:val="32"/>
          <w:szCs w:val="20"/>
          <w:lang w:val="en-US" w:eastAsia="zh-CN"/>
        </w:rPr>
      </w:pPr>
      <w:r>
        <w:rPr>
          <w:rFonts w:ascii="Arial" w:hAnsi="Arial" w:eastAsia="宋体" w:cs="Arial"/>
          <w:kern w:val="0"/>
          <w:sz w:val="32"/>
          <w:szCs w:val="20"/>
          <w:lang w:val="en-GB" w:eastAsia="en-US"/>
        </w:rPr>
        <w:t>2.</w:t>
      </w:r>
      <w:r>
        <w:rPr>
          <w:rFonts w:hint="eastAsia" w:ascii="Arial" w:hAnsi="Arial" w:eastAsia="宋体" w:cs="Arial"/>
          <w:kern w:val="0"/>
          <w:sz w:val="32"/>
          <w:szCs w:val="20"/>
          <w:lang w:val="en-US" w:eastAsia="zh-CN"/>
        </w:rPr>
        <w:t>3</w:t>
      </w:r>
      <w:r>
        <w:rPr>
          <w:rFonts w:ascii="Arial" w:hAnsi="Arial" w:eastAsia="宋体" w:cs="Arial"/>
          <w:kern w:val="0"/>
          <w:sz w:val="32"/>
          <w:szCs w:val="20"/>
          <w:lang w:val="en-GB" w:eastAsia="en-US"/>
        </w:rPr>
        <w:tab/>
      </w:r>
      <w:r>
        <w:rPr>
          <w:rFonts w:hint="eastAsia" w:ascii="Arial" w:hAnsi="Arial" w:eastAsia="宋体" w:cs="Arial"/>
          <w:kern w:val="0"/>
          <w:sz w:val="32"/>
          <w:szCs w:val="20"/>
          <w:lang w:val="en-US" w:eastAsia="zh-CN"/>
        </w:rPr>
        <w:t>CHO</w:t>
      </w:r>
      <w:r>
        <w:rPr>
          <w:rFonts w:hint="eastAsia" w:ascii="Arial" w:hAnsi="Arial" w:eastAsia="宋体" w:cs="Arial"/>
          <w:kern w:val="0"/>
          <w:sz w:val="32"/>
          <w:szCs w:val="20"/>
        </w:rPr>
        <w:t xml:space="preserve"> enhancements</w:t>
      </w:r>
      <w:r>
        <w:rPr>
          <w:rFonts w:hint="eastAsia" w:ascii="Arial" w:hAnsi="Arial" w:eastAsia="宋体" w:cs="Arial"/>
          <w:kern w:val="0"/>
          <w:sz w:val="32"/>
          <w:szCs w:val="20"/>
          <w:lang w:val="en-US" w:eastAsia="zh-CN"/>
        </w:rPr>
        <w:t xml:space="preserve"> for eMTC NTN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last meeting, RAN2 discussed whether the time/location trigger must be configured together with an RRM based trigger and has no consensus. In NR NTN, the time/location-based trigger condition is always configured together with one of the measurement-based trigger conditions, considering the UE should select a target cell in good radio condition to perform handover, and is specified in TS 38.300 [2]:</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
              <w:rPr>
                <w:rFonts w:hint="default" w:ascii="Times New Roman" w:hAnsi="Times New Roman" w:cs="Times New Roman"/>
              </w:rPr>
            </w:pPr>
            <w:bookmarkStart w:id="0" w:name="_Toc124536347"/>
            <w:r>
              <w:rPr>
                <w:rFonts w:hint="default" w:ascii="Times New Roman" w:hAnsi="Times New Roman" w:cs="Times New Roman"/>
              </w:rPr>
              <w:t>16.14.3.2.2</w:t>
            </w:r>
            <w:r>
              <w:rPr>
                <w:rFonts w:hint="default" w:ascii="Times New Roman" w:hAnsi="Times New Roman" w:cs="Times New Roman"/>
              </w:rPr>
              <w:tab/>
            </w:r>
            <w:r>
              <w:rPr>
                <w:rFonts w:hint="default" w:ascii="Times New Roman" w:hAnsi="Times New Roman" w:cs="Times New Roman"/>
                <w:lang w:eastAsia="zh-CN"/>
              </w:rPr>
              <w:t>Conditional Handover</w:t>
            </w:r>
            <w:bookmarkEnd w:id="0"/>
          </w:p>
          <w:p>
            <w:pPr>
              <w:rPr>
                <w:rFonts w:hint="default" w:ascii="Times New Roman" w:hAnsi="Times New Roman" w:cs="Times New Roman"/>
              </w:rPr>
            </w:pPr>
            <w:r>
              <w:rPr>
                <w:rFonts w:hint="default" w:ascii="Times New Roman" w:hAnsi="Times New Roman" w:cs="Times New Roman"/>
              </w:rPr>
              <w:t>The same principle as described in 9.2.3.4 applies to NTN unless hereunder specified.</w:t>
            </w:r>
          </w:p>
          <w:p>
            <w:pPr>
              <w:rPr>
                <w:rFonts w:hint="default" w:ascii="Times New Roman" w:hAnsi="Times New Roman" w:cs="Times New Roman"/>
                <w:lang w:eastAsia="zh-CN"/>
              </w:rPr>
            </w:pPr>
            <w:r>
              <w:rPr>
                <w:rFonts w:hint="default" w:ascii="Times New Roman" w:hAnsi="Times New Roman" w:cs="Times New Roman"/>
                <w:lang w:eastAsia="zh-CN"/>
              </w:rPr>
              <w:t>NTN supports the following additional trigger conditions upon which UE may execute CHO to a candidate cell, as defined in TS 38.331 [12]:</w:t>
            </w:r>
          </w:p>
          <w:p>
            <w:pPr>
              <w:pStyle w:val="21"/>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eastAsia="等线" w:cs="Times New Roman"/>
              </w:rPr>
              <w:t xml:space="preserve">The RRM measurement-based </w:t>
            </w:r>
            <w:r>
              <w:rPr>
                <w:rFonts w:hint="default" w:ascii="Times New Roman" w:hAnsi="Times New Roman" w:cs="Times New Roman"/>
                <w:lang w:eastAsia="zh-CN"/>
              </w:rPr>
              <w:t>event A4;</w:t>
            </w:r>
          </w:p>
          <w:p>
            <w:pPr>
              <w:pStyle w:val="21"/>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A time-based trigger condition;</w:t>
            </w:r>
          </w:p>
          <w:p>
            <w:pPr>
              <w:pStyle w:val="21"/>
              <w:rPr>
                <w:rFonts w:hint="default" w:ascii="Times New Roman" w:hAnsi="Times New Roman" w:cs="Times New Roman"/>
                <w:lang w:eastAsia="zh-CN"/>
              </w:rPr>
            </w:pP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A location-based trigger condition.</w:t>
            </w:r>
          </w:p>
          <w:p>
            <w:pPr>
              <w:rPr>
                <w:rFonts w:hint="default" w:ascii="Times New Roman" w:hAnsi="Times New Roman" w:cs="Times New Roman"/>
                <w:lang w:eastAsia="zh-CN"/>
              </w:rPr>
            </w:pPr>
            <w:r>
              <w:rPr>
                <w:rFonts w:hint="default" w:ascii="Times New Roman" w:hAnsi="Times New Roman" w:cs="Times New Roman"/>
                <w:highlight w:val="yellow"/>
                <w:lang w:eastAsia="zh-CN"/>
              </w:rPr>
              <w:t xml:space="preserve">A time-based or a location-based trigger condition is always configured together with one of the measurement-based trigger conditions (CHO events A3/A4/A5) </w:t>
            </w:r>
            <w:r>
              <w:rPr>
                <w:rFonts w:hint="default" w:ascii="Times New Roman" w:hAnsi="Times New Roman" w:cs="Times New Roman"/>
                <w:lang w:eastAsia="zh-CN"/>
              </w:rPr>
              <w:t>as defined in TS 38.331 [12].</w:t>
            </w:r>
          </w:p>
          <w:p>
            <w:pPr>
              <w:rPr>
                <w:rFonts w:hint="default" w:ascii="Arial" w:hAnsi="Arial" w:eastAsia="宋体" w:cs="Arial"/>
                <w:kern w:val="0"/>
                <w:sz w:val="20"/>
                <w:szCs w:val="20"/>
                <w:vertAlign w:val="baseline"/>
                <w:lang w:val="en-US" w:eastAsia="zh-CN"/>
              </w:rPr>
            </w:pPr>
            <w:r>
              <w:rPr>
                <w:rFonts w:hint="default" w:ascii="Times New Roman" w:hAnsi="Times New Roman" w:cs="Times New Roman"/>
                <w:lang w:eastAsia="zh-CN"/>
              </w:rPr>
              <w:t>It is up to UE implementation how the UE evaluates the time- or location-based trigger condition together with the RRM measurement-based event.</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We think the similar mechanism can be reused for eMTC NTN, and how the UE evaluates the time/location-based trigger condition together with the RRM measurement-based event is up to UE implementation.</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cs="Arial"/>
          <w:b/>
          <w:bCs/>
          <w:sz w:val="20"/>
          <w:szCs w:val="20"/>
          <w:lang w:val="en-US" w:eastAsia="zh-CN"/>
        </w:rPr>
      </w:pPr>
      <w:r>
        <w:rPr>
          <w:rFonts w:hint="eastAsia" w:ascii="Arial" w:hAnsi="Arial" w:eastAsia="宋体" w:cs="Arial"/>
          <w:b/>
          <w:bCs/>
          <w:kern w:val="0"/>
          <w:sz w:val="20"/>
          <w:szCs w:val="20"/>
          <w:lang w:val="en-US" w:eastAsia="zh-CN"/>
        </w:rPr>
        <w:t xml:space="preserve">Proposal 5: </w:t>
      </w:r>
      <w:r>
        <w:rPr>
          <w:rFonts w:hint="default" w:ascii="Arial" w:hAnsi="Arial" w:cs="Arial"/>
          <w:b/>
          <w:bCs/>
          <w:sz w:val="20"/>
          <w:szCs w:val="20"/>
          <w:lang w:val="en-US" w:eastAsia="zh-CN"/>
        </w:rPr>
        <w:t>Same as NR NTN, time/location-based trigger condition is always configured together with one of the measurement-based trigger conditions (CHO events A3/A4/A5).</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cs="Arial"/>
          <w:b w:val="0"/>
          <w:bCs w:val="0"/>
          <w:sz w:val="20"/>
          <w:szCs w:val="20"/>
          <w:lang w:val="en-US" w:eastAsia="zh-CN"/>
        </w:rPr>
      </w:pPr>
      <w:r>
        <w:rPr>
          <w:rFonts w:hint="eastAsia" w:ascii="Arial" w:hAnsi="Arial" w:cs="Arial"/>
          <w:b w:val="0"/>
          <w:bCs w:val="0"/>
          <w:sz w:val="20"/>
          <w:szCs w:val="20"/>
          <w:lang w:val="en-US" w:eastAsia="zh-CN"/>
        </w:rPr>
        <w:t>Another issue is whether the time-based and location-based trigger condition can be configured jointly. In R17 NR NTN, joint configuration is not supported. The same principle can also be reused in eMTC NTN.</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cs="Arial"/>
          <w:b/>
          <w:bCs/>
          <w:sz w:val="20"/>
          <w:szCs w:val="20"/>
          <w:lang w:val="en-US" w:eastAsia="zh-CN"/>
        </w:rPr>
      </w:pPr>
      <w:r>
        <w:rPr>
          <w:rFonts w:hint="eastAsia" w:ascii="Arial" w:hAnsi="Arial" w:cs="Arial"/>
          <w:b/>
          <w:bCs/>
          <w:sz w:val="20"/>
          <w:szCs w:val="20"/>
          <w:lang w:val="en-US" w:eastAsia="zh-CN"/>
        </w:rPr>
        <w:t>Proposal 6: Same as NR NTN, joint time-based and location-based CHO execution triggering for the same candidate cell is not supported.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cs="Arial"/>
          <w:b/>
          <w:bCs/>
          <w:sz w:val="20"/>
          <w:szCs w:val="20"/>
          <w:lang w:val="en-US" w:eastAsia="zh-CN"/>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mobility</w:t>
      </w:r>
      <w:r>
        <w:rPr>
          <w:rFonts w:ascii="Arial" w:hAnsi="Arial" w:eastAsia="宋体" w:cs="Arial"/>
          <w:kern w:val="0"/>
          <w:sz w:val="20"/>
          <w:szCs w:val="20"/>
          <w:lang w:val="en-GB" w:eastAsia="en-US"/>
        </w:rPr>
        <w:t xml:space="preserve"> 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 The </w:t>
      </w:r>
      <w:r>
        <w:rPr>
          <w:rFonts w:hint="eastAsia" w:ascii="Arial" w:hAnsi="Arial" w:eastAsia="宋体" w:cs="Arial"/>
          <w:b/>
          <w:bCs/>
          <w:i/>
          <w:iCs/>
          <w:kern w:val="0"/>
          <w:sz w:val="20"/>
          <w:szCs w:val="20"/>
          <w:lang w:val="en-US" w:eastAsia="zh-CN"/>
        </w:rPr>
        <w:t xml:space="preserve">referenceLocation </w:t>
      </w:r>
      <w:r>
        <w:rPr>
          <w:rFonts w:hint="eastAsia" w:ascii="Arial" w:hAnsi="Arial" w:eastAsia="宋体" w:cs="Arial"/>
          <w:b/>
          <w:bCs/>
          <w:kern w:val="0"/>
          <w:sz w:val="20"/>
          <w:szCs w:val="20"/>
          <w:lang w:val="en-US" w:eastAsia="zh-CN"/>
        </w:rPr>
        <w:t xml:space="preserve">IE and </w:t>
      </w:r>
      <w:r>
        <w:rPr>
          <w:rFonts w:hint="eastAsia" w:ascii="Arial" w:hAnsi="Arial" w:eastAsia="宋体" w:cs="Arial"/>
          <w:b/>
          <w:bCs/>
          <w:i/>
          <w:iCs/>
          <w:kern w:val="0"/>
          <w:sz w:val="20"/>
          <w:szCs w:val="20"/>
          <w:lang w:val="en-US" w:eastAsia="zh-CN"/>
        </w:rPr>
        <w:t xml:space="preserve">distanceThresh </w:t>
      </w:r>
      <w:r>
        <w:rPr>
          <w:rFonts w:hint="eastAsia" w:ascii="Arial" w:hAnsi="Arial" w:eastAsia="宋体" w:cs="Arial"/>
          <w:b/>
          <w:bCs/>
          <w:kern w:val="0"/>
          <w:sz w:val="20"/>
          <w:szCs w:val="20"/>
          <w:lang w:val="en-US" w:eastAsia="zh-CN"/>
        </w:rPr>
        <w:t>IE are introduced for quasi-Earth-fixed cell and earth-moving cell in SIB31.</w:t>
      </w:r>
    </w:p>
    <w:p>
      <w:pPr>
        <w:widowControl/>
        <w:spacing w:after="180"/>
        <w:rPr>
          <w:rFonts w:hint="eastAsia" w:ascii="Arial" w:hAnsi="Arial" w:eastAsia="宋体" w:cs="Arial"/>
          <w:b/>
          <w:bCs/>
          <w:kern w:val="0"/>
          <w:sz w:val="20"/>
          <w:szCs w:val="20"/>
        </w:rPr>
      </w:pPr>
      <w:r>
        <w:rPr>
          <w:rFonts w:hint="default" w:ascii="Arial" w:hAnsi="Arial" w:eastAsia="宋体" w:cs="Arial"/>
          <w:b/>
          <w:bCs/>
          <w:kern w:val="2"/>
          <w:sz w:val="20"/>
          <w:szCs w:val="20"/>
          <w:lang w:val="en-US" w:eastAsia="zh-CN" w:bidi="ar"/>
        </w:rPr>
        <w:t>Proposal 2：</w:t>
      </w:r>
      <w:r>
        <w:rPr>
          <w:rFonts w:hint="eastAsia" w:ascii="Arial" w:hAnsi="Arial" w:eastAsia="宋体" w:cs="Arial"/>
          <w:b/>
          <w:bCs/>
          <w:kern w:val="0"/>
          <w:sz w:val="20"/>
          <w:szCs w:val="20"/>
          <w:lang w:val="en-US" w:eastAsia="zh-CN"/>
        </w:rPr>
        <w:t xml:space="preserve">For the additional information to derive the reference location of earth-moving cell, the </w:t>
      </w:r>
      <w:r>
        <w:rPr>
          <w:rFonts w:hint="eastAsia" w:ascii="Arial" w:hAnsi="Arial" w:cs="Arial"/>
          <w:b/>
          <w:bCs/>
          <w:sz w:val="20"/>
          <w:szCs w:val="21"/>
          <w:lang w:val="en-US" w:eastAsia="zh-CN"/>
        </w:rPr>
        <w:t xml:space="preserve">details of </w:t>
      </w:r>
      <w:r>
        <w:rPr>
          <w:rFonts w:hint="default" w:ascii="Arial" w:hAnsi="Arial" w:cs="Arial"/>
          <w:b/>
          <w:bCs/>
          <w:sz w:val="20"/>
          <w:szCs w:val="21"/>
          <w:lang w:val="en-US" w:eastAsia="zh-CN"/>
        </w:rPr>
        <w:t xml:space="preserve">additional </w:t>
      </w:r>
      <w:r>
        <w:rPr>
          <w:rFonts w:hint="default" w:ascii="Arial" w:hAnsi="Arial" w:eastAsia="宋体" w:cs="Arial"/>
          <w:b/>
          <w:bCs/>
          <w:kern w:val="0"/>
          <w:sz w:val="20"/>
          <w:szCs w:val="20"/>
          <w:lang w:val="en-US" w:eastAsia="zh-CN"/>
        </w:rPr>
        <w:t xml:space="preserve">information </w:t>
      </w:r>
      <w:r>
        <w:rPr>
          <w:rFonts w:hint="eastAsia" w:ascii="Arial" w:hAnsi="Arial" w:cs="Arial"/>
          <w:b/>
          <w:bCs/>
          <w:sz w:val="20"/>
          <w:szCs w:val="21"/>
          <w:lang w:val="en-US" w:eastAsia="zh-CN"/>
        </w:rPr>
        <w:t xml:space="preserve">can </w:t>
      </w:r>
      <w:r>
        <w:rPr>
          <w:rFonts w:hint="default" w:ascii="Arial" w:hAnsi="Arial" w:cs="Arial"/>
          <w:b/>
          <w:bCs/>
          <w:sz w:val="20"/>
          <w:szCs w:val="21"/>
          <w:lang w:val="en-US" w:eastAsia="zh-CN"/>
        </w:rPr>
        <w:t xml:space="preserve">wait </w:t>
      </w:r>
      <w:r>
        <w:rPr>
          <w:rFonts w:hint="eastAsia" w:ascii="Arial" w:hAnsi="Arial" w:cs="Arial"/>
          <w:b/>
          <w:bCs/>
          <w:sz w:val="20"/>
          <w:szCs w:val="21"/>
          <w:lang w:val="en-US" w:eastAsia="zh-CN"/>
        </w:rPr>
        <w:t xml:space="preserve">the </w:t>
      </w:r>
      <w:r>
        <w:rPr>
          <w:rFonts w:hint="default" w:ascii="Arial" w:hAnsi="Arial" w:cs="Arial"/>
          <w:b/>
          <w:bCs/>
          <w:sz w:val="20"/>
          <w:szCs w:val="21"/>
          <w:lang w:val="en-US" w:eastAsia="zh-CN"/>
        </w:rPr>
        <w:t>progress</w:t>
      </w:r>
      <w:r>
        <w:rPr>
          <w:rFonts w:hint="eastAsia" w:ascii="Arial" w:hAnsi="Arial" w:cs="Arial"/>
          <w:b/>
          <w:bCs/>
          <w:sz w:val="20"/>
          <w:szCs w:val="21"/>
          <w:lang w:val="en-US" w:eastAsia="zh-CN"/>
        </w:rPr>
        <w:t xml:space="preserve"> of </w:t>
      </w:r>
      <w:r>
        <w:rPr>
          <w:rFonts w:hint="default" w:ascii="Arial" w:hAnsi="Arial" w:cs="Arial"/>
          <w:b/>
          <w:bCs/>
          <w:sz w:val="20"/>
          <w:szCs w:val="21"/>
          <w:lang w:val="en-US" w:eastAsia="zh-CN"/>
        </w:rPr>
        <w:t xml:space="preserve">NR NTN </w:t>
      </w:r>
      <w:r>
        <w:rPr>
          <w:rFonts w:hint="eastAsia" w:ascii="Arial" w:hAnsi="Arial" w:cs="Arial"/>
          <w:b/>
          <w:bCs/>
          <w:sz w:val="20"/>
          <w:szCs w:val="21"/>
          <w:lang w:val="en-US" w:eastAsia="zh-CN"/>
        </w:rPr>
        <w:t xml:space="preserve">WI and the </w:t>
      </w:r>
      <w:r>
        <w:rPr>
          <w:rFonts w:hint="eastAsia" w:ascii="Arial" w:hAnsi="Arial" w:eastAsia="宋体" w:cs="Arial"/>
          <w:b/>
          <w:bCs/>
          <w:kern w:val="0"/>
          <w:sz w:val="20"/>
          <w:szCs w:val="20"/>
          <w:lang w:val="en-US" w:eastAsia="zh-CN"/>
        </w:rPr>
        <w:t>same mechanism to NR NTN can be reused</w:t>
      </w:r>
      <w:r>
        <w:rPr>
          <w:rFonts w:hint="eastAsia" w:ascii="Arial" w:hAnsi="Arial" w:eastAsia="宋体" w:cs="Arial"/>
          <w:b/>
          <w:bCs/>
          <w:kern w:val="0"/>
          <w:sz w:val="20"/>
          <w:szCs w:val="20"/>
        </w:rPr>
        <w:t>.</w:t>
      </w:r>
    </w:p>
    <w:p>
      <w:pPr>
        <w:widowControl/>
        <w:numPr>
          <w:ilvl w:val="0"/>
          <w:numId w:val="0"/>
        </w:numPr>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3: The same triggered mechanism for neighbor cell measurement can also be reused in RRC_IDLE state.</w:t>
      </w:r>
    </w:p>
    <w:p>
      <w:pPr>
        <w:keepNext w:val="0"/>
        <w:keepLines w:val="0"/>
        <w:widowControl w:val="0"/>
        <w:suppressLineNumbers w:val="0"/>
        <w:spacing w:before="0" w:beforeAutospacing="0" w:after="0" w:afterAutospacing="0"/>
        <w:ind w:left="0" w:right="0"/>
        <w:jc w:val="both"/>
        <w:rPr>
          <w:rFonts w:hint="default" w:ascii="Arial" w:hAnsi="Arial" w:cs="Arial"/>
          <w:b/>
          <w:bCs/>
          <w:sz w:val="20"/>
          <w:szCs w:val="21"/>
          <w:lang w:val="en-US" w:eastAsia="zh-CN"/>
        </w:rPr>
      </w:pPr>
      <w:r>
        <w:rPr>
          <w:rFonts w:hint="default" w:ascii="Arial" w:hAnsi="Arial" w:cs="Arial"/>
          <w:b/>
          <w:bCs/>
          <w:sz w:val="20"/>
          <w:szCs w:val="21"/>
          <w:lang w:val="en-US" w:eastAsia="zh-CN"/>
        </w:rPr>
        <w:t xml:space="preserve">Proposal </w:t>
      </w:r>
      <w:r>
        <w:rPr>
          <w:rFonts w:hint="eastAsia" w:ascii="Arial" w:hAnsi="Arial" w:cs="Arial"/>
          <w:b/>
          <w:bCs/>
          <w:sz w:val="20"/>
          <w:szCs w:val="21"/>
          <w:lang w:val="en-US" w:eastAsia="zh-CN"/>
        </w:rPr>
        <w:t>4</w:t>
      </w:r>
      <w:r>
        <w:rPr>
          <w:rFonts w:hint="default" w:ascii="Arial" w:hAnsi="Arial" w:cs="Arial"/>
          <w:b/>
          <w:bCs/>
          <w:sz w:val="20"/>
          <w:szCs w:val="21"/>
          <w:lang w:val="en-US" w:eastAsia="zh-CN"/>
        </w:rPr>
        <w:t>: For eMTC over NTN, it is proposed not to introduce new trigger for connected mode neighbor cell measurement</w:t>
      </w:r>
      <w:r>
        <w:rPr>
          <w:rFonts w:hint="eastAsia" w:ascii="Arial" w:hAnsi="Arial" w:eastAsia="宋体" w:cs="Arial"/>
          <w:b/>
          <w:bCs/>
          <w:kern w:val="0"/>
          <w:sz w:val="20"/>
          <w:szCs w:val="20"/>
          <w:lang w:val="en-US" w:eastAsia="zh-CN"/>
        </w:rPr>
        <w:t>, just reusing the measurement triggering mechanism for NR NTN</w:t>
      </w:r>
      <w:r>
        <w:rPr>
          <w:rFonts w:hint="default" w:ascii="Arial" w:hAnsi="Arial" w:cs="Arial"/>
          <w:b/>
          <w:bCs/>
          <w:sz w:val="20"/>
          <w:szCs w:val="21"/>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cs="Arial"/>
          <w:b/>
          <w:bCs/>
          <w:sz w:val="20"/>
          <w:szCs w:val="20"/>
          <w:lang w:val="en-US" w:eastAsia="zh-CN"/>
        </w:rPr>
      </w:pPr>
      <w:r>
        <w:rPr>
          <w:rFonts w:hint="eastAsia" w:ascii="Arial" w:hAnsi="Arial" w:eastAsia="宋体" w:cs="Arial"/>
          <w:b/>
          <w:bCs/>
          <w:kern w:val="0"/>
          <w:sz w:val="20"/>
          <w:szCs w:val="20"/>
          <w:lang w:val="en-US" w:eastAsia="zh-CN"/>
        </w:rPr>
        <w:t xml:space="preserve">Proposal 5: </w:t>
      </w:r>
      <w:r>
        <w:rPr>
          <w:rFonts w:hint="default" w:ascii="Arial" w:hAnsi="Arial" w:cs="Arial"/>
          <w:b/>
          <w:bCs/>
          <w:sz w:val="20"/>
          <w:szCs w:val="20"/>
          <w:lang w:val="en-US" w:eastAsia="zh-CN"/>
        </w:rPr>
        <w:t>Same as NR NTN, time/location-based trigger condition is always configured together with one of the measurement-based trigger conditions (CHO events A3/A4/A5).</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eastAsia" w:ascii="Arial" w:hAnsi="Arial" w:cs="Arial"/>
          <w:b/>
          <w:bCs/>
          <w:sz w:val="20"/>
          <w:szCs w:val="20"/>
          <w:lang w:val="en-US" w:eastAsia="zh-CN"/>
        </w:rPr>
      </w:pPr>
      <w:r>
        <w:rPr>
          <w:rFonts w:hint="eastAsia" w:ascii="Arial" w:hAnsi="Arial" w:cs="Arial"/>
          <w:b/>
          <w:bCs/>
          <w:sz w:val="20"/>
          <w:szCs w:val="20"/>
          <w:lang w:val="en-US" w:eastAsia="zh-CN"/>
        </w:rPr>
        <w:t>Proposal 6: Same as NR NTN, joint time-based and location-based CHO execution triggering for the same candidate cell is not supported.</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cs="Arial"/>
          <w:b/>
          <w:bCs/>
          <w:sz w:val="20"/>
          <w:szCs w:val="20"/>
          <w:lang w:val="en-US" w:eastAsia="zh-CN"/>
        </w:rPr>
      </w:pPr>
      <w:bookmarkStart w:id="1" w:name="_GoBack"/>
      <w:bookmarkEnd w:id="1"/>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ascii="Arial" w:hAnsi="Arial" w:eastAsia="宋体" w:cs="Arial"/>
          <w:kern w:val="0"/>
          <w:sz w:val="21"/>
          <w:szCs w:val="21"/>
          <w:lang w:val="en-GB" w:eastAsia="en-US"/>
        </w:rPr>
        <w:t>R</w:t>
      </w:r>
      <w:r>
        <w:rPr>
          <w:rFonts w:hint="eastAsia" w:ascii="Arial" w:hAnsi="Arial" w:eastAsia="宋体" w:cs="Arial"/>
          <w:kern w:val="0"/>
          <w:sz w:val="21"/>
          <w:szCs w:val="21"/>
          <w:lang w:val="en-US" w:eastAsia="zh-CN"/>
        </w:rPr>
        <w:t>2</w:t>
      </w:r>
      <w:r>
        <w:rPr>
          <w:rFonts w:ascii="Arial" w:hAnsi="Arial" w:eastAsia="宋体" w:cs="Arial"/>
          <w:kern w:val="0"/>
          <w:sz w:val="21"/>
          <w:szCs w:val="21"/>
          <w:lang w:val="en-GB" w:eastAsia="en-US"/>
        </w:rPr>
        <w:t>-22</w:t>
      </w:r>
      <w:r>
        <w:rPr>
          <w:rFonts w:hint="eastAsia" w:ascii="Arial" w:hAnsi="Arial" w:eastAsia="宋体" w:cs="Arial"/>
          <w:kern w:val="0"/>
          <w:sz w:val="21"/>
          <w:szCs w:val="21"/>
        </w:rPr>
        <w:t>XXXX</w:t>
      </w:r>
      <w:r>
        <w:rPr>
          <w:rFonts w:ascii="Arial" w:hAnsi="Arial" w:eastAsia="宋体" w:cs="Arial"/>
          <w:kern w:val="0"/>
          <w:sz w:val="21"/>
          <w:szCs w:val="21"/>
          <w:lang w:val="en-GB" w:eastAsia="en-US"/>
        </w:rPr>
        <w:t xml:space="preserve">, </w:t>
      </w:r>
      <w:r>
        <w:rPr>
          <w:rFonts w:hint="eastAsia" w:ascii="Arial" w:hAnsi="Arial" w:eastAsia="宋体" w:cs="Arial"/>
          <w:kern w:val="0"/>
          <w:sz w:val="21"/>
          <w:szCs w:val="21"/>
          <w:lang w:val="en-GB" w:eastAsia="en-US"/>
        </w:rPr>
        <w:t>Report of 3GPP TSG RAN WG2 meeting #1</w:t>
      </w:r>
      <w:r>
        <w:rPr>
          <w:rFonts w:hint="eastAsia" w:ascii="Arial" w:hAnsi="Arial" w:eastAsia="宋体" w:cs="Arial"/>
          <w:kern w:val="0"/>
          <w:sz w:val="21"/>
          <w:szCs w:val="21"/>
          <w:lang w:val="en-US" w:eastAsia="zh-CN"/>
        </w:rPr>
        <w:t>21</w:t>
      </w:r>
      <w:r>
        <w:rPr>
          <w:rFonts w:hint="eastAsia" w:ascii="Arial" w:hAnsi="Arial" w:eastAsia="宋体" w:cs="Arial"/>
          <w:kern w:val="0"/>
          <w:sz w:val="21"/>
          <w:szCs w:val="21"/>
          <w:lang w:val="en-GB" w:eastAsia="en-US"/>
        </w:rPr>
        <w:t xml:space="preserve">, </w:t>
      </w:r>
      <w:r>
        <w:rPr>
          <w:rFonts w:hint="eastAsia" w:ascii="Arial" w:hAnsi="Arial" w:eastAsia="宋体" w:cs="Arial"/>
          <w:kern w:val="0"/>
          <w:sz w:val="21"/>
          <w:szCs w:val="21"/>
          <w:lang w:val="en-US" w:eastAsia="zh-CN"/>
        </w:rPr>
        <w:t xml:space="preserve">Athens, 27 February </w:t>
      </w:r>
      <w:r>
        <w:rPr>
          <w:rFonts w:hint="eastAsia" w:ascii="Arial" w:hAnsi="Arial" w:eastAsia="宋体" w:cs="Arial"/>
          <w:kern w:val="0"/>
          <w:sz w:val="21"/>
          <w:szCs w:val="21"/>
        </w:rPr>
        <w:t>-</w:t>
      </w:r>
      <w:r>
        <w:rPr>
          <w:rFonts w:hint="eastAsia" w:ascii="Arial" w:hAnsi="Arial" w:eastAsia="宋体" w:cs="Arial"/>
          <w:kern w:val="0"/>
          <w:sz w:val="21"/>
          <w:szCs w:val="21"/>
          <w:lang w:val="en-US" w:eastAsia="zh-CN"/>
        </w:rPr>
        <w:t xml:space="preserve"> 3 March, </w:t>
      </w:r>
      <w:r>
        <w:rPr>
          <w:rFonts w:hint="eastAsia" w:ascii="Arial" w:hAnsi="Arial" w:eastAsia="宋体" w:cs="Arial"/>
          <w:kern w:val="0"/>
          <w:sz w:val="21"/>
          <w:szCs w:val="21"/>
        </w:rPr>
        <w:t>2022</w:t>
      </w:r>
    </w:p>
    <w:p>
      <w:pPr>
        <w:widowControl/>
        <w:numPr>
          <w:ilvl w:val="0"/>
          <w:numId w:val="3"/>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US" w:eastAsia="zh-CN"/>
        </w:rPr>
        <w:t>TS 38.300, NR; NR and NG-RAN Overall Description; Stage 2</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CAA566"/>
    <w:multiLevelType w:val="singleLevel"/>
    <w:tmpl w:val="2DCAA566"/>
    <w:lvl w:ilvl="0" w:tentative="0">
      <w:start w:val="2"/>
      <w:numFmt w:val="decimal"/>
      <w:lvlText w:val="%1"/>
      <w:lvlJc w:val="left"/>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
    <w:nsid w:val="51475EBE"/>
    <w:multiLevelType w:val="multilevel"/>
    <w:tmpl w:val="51475EBE"/>
    <w:lvl w:ilvl="0" w:tentative="0">
      <w:start w:val="7"/>
      <w:numFmt w:val="bullet"/>
      <w:lvlText w:val=""/>
      <w:lvlJc w:val="left"/>
      <w:pPr>
        <w:ind w:left="1619" w:hanging="360"/>
      </w:pPr>
      <w:rPr>
        <w:rFonts w:hint="default" w:ascii="Wingdings" w:hAnsi="Wingdings" w:eastAsia="MS Mincho" w:cs="Times New Roman"/>
      </w:rPr>
    </w:lvl>
    <w:lvl w:ilvl="1" w:tentative="0">
      <w:start w:val="1"/>
      <w:numFmt w:val="bullet"/>
      <w:lvlText w:val="o"/>
      <w:lvlJc w:val="left"/>
      <w:pPr>
        <w:ind w:left="2339" w:hanging="360"/>
      </w:pPr>
      <w:rPr>
        <w:rFonts w:hint="default" w:ascii="Courier New" w:hAnsi="Courier New" w:cs="Courier New"/>
      </w:rPr>
    </w:lvl>
    <w:lvl w:ilvl="2" w:tentative="0">
      <w:start w:val="1"/>
      <w:numFmt w:val="bullet"/>
      <w:lvlText w:val=""/>
      <w:lvlJc w:val="left"/>
      <w:pPr>
        <w:ind w:left="3059" w:hanging="360"/>
      </w:pPr>
      <w:rPr>
        <w:rFonts w:hint="default" w:ascii="Wingdings" w:hAnsi="Wingdings"/>
      </w:rPr>
    </w:lvl>
    <w:lvl w:ilvl="3" w:tentative="0">
      <w:start w:val="1"/>
      <w:numFmt w:val="bullet"/>
      <w:lvlText w:val=""/>
      <w:lvlJc w:val="left"/>
      <w:pPr>
        <w:ind w:left="3779" w:hanging="360"/>
      </w:pPr>
      <w:rPr>
        <w:rFonts w:hint="default" w:ascii="Symbol" w:hAnsi="Symbol"/>
      </w:rPr>
    </w:lvl>
    <w:lvl w:ilvl="4" w:tentative="0">
      <w:start w:val="1"/>
      <w:numFmt w:val="bullet"/>
      <w:lvlText w:val="o"/>
      <w:lvlJc w:val="left"/>
      <w:pPr>
        <w:ind w:left="4499" w:hanging="360"/>
      </w:pPr>
      <w:rPr>
        <w:rFonts w:hint="default" w:ascii="Courier New" w:hAnsi="Courier New" w:cs="Courier New"/>
      </w:rPr>
    </w:lvl>
    <w:lvl w:ilvl="5" w:tentative="0">
      <w:start w:val="1"/>
      <w:numFmt w:val="bullet"/>
      <w:lvlText w:val=""/>
      <w:lvlJc w:val="left"/>
      <w:pPr>
        <w:ind w:left="5219" w:hanging="360"/>
      </w:pPr>
      <w:rPr>
        <w:rFonts w:hint="default" w:ascii="Wingdings" w:hAnsi="Wingdings"/>
      </w:rPr>
    </w:lvl>
    <w:lvl w:ilvl="6" w:tentative="0">
      <w:start w:val="1"/>
      <w:numFmt w:val="bullet"/>
      <w:lvlText w:val=""/>
      <w:lvlJc w:val="left"/>
      <w:pPr>
        <w:ind w:left="5939" w:hanging="360"/>
      </w:pPr>
      <w:rPr>
        <w:rFonts w:hint="default" w:ascii="Symbol" w:hAnsi="Symbol"/>
      </w:rPr>
    </w:lvl>
    <w:lvl w:ilvl="7" w:tentative="0">
      <w:start w:val="1"/>
      <w:numFmt w:val="bullet"/>
      <w:lvlText w:val="o"/>
      <w:lvlJc w:val="left"/>
      <w:pPr>
        <w:ind w:left="6659" w:hanging="360"/>
      </w:pPr>
      <w:rPr>
        <w:rFonts w:hint="default" w:ascii="Courier New" w:hAnsi="Courier New" w:cs="Courier New"/>
      </w:rPr>
    </w:lvl>
    <w:lvl w:ilvl="8" w:tentative="0">
      <w:start w:val="1"/>
      <w:numFmt w:val="bullet"/>
      <w:lvlText w:val=""/>
      <w:lvlJc w:val="left"/>
      <w:pPr>
        <w:ind w:left="7379"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65869"/>
    <w:rsid w:val="00196A53"/>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179E9"/>
    <w:rsid w:val="00523942"/>
    <w:rsid w:val="00525BBB"/>
    <w:rsid w:val="005C3989"/>
    <w:rsid w:val="005E7E07"/>
    <w:rsid w:val="006100C7"/>
    <w:rsid w:val="00610B28"/>
    <w:rsid w:val="006743B8"/>
    <w:rsid w:val="00680623"/>
    <w:rsid w:val="006A4FB5"/>
    <w:rsid w:val="006B0BFB"/>
    <w:rsid w:val="006D1DA8"/>
    <w:rsid w:val="00721490"/>
    <w:rsid w:val="0074611C"/>
    <w:rsid w:val="007A2ADF"/>
    <w:rsid w:val="007B28E6"/>
    <w:rsid w:val="007E3904"/>
    <w:rsid w:val="00843904"/>
    <w:rsid w:val="00894A29"/>
    <w:rsid w:val="008A5A0B"/>
    <w:rsid w:val="008D110D"/>
    <w:rsid w:val="008E4F97"/>
    <w:rsid w:val="00940BA3"/>
    <w:rsid w:val="00950D36"/>
    <w:rsid w:val="00956A27"/>
    <w:rsid w:val="00975D83"/>
    <w:rsid w:val="00982B04"/>
    <w:rsid w:val="009924F0"/>
    <w:rsid w:val="009A6D82"/>
    <w:rsid w:val="009D3F27"/>
    <w:rsid w:val="009E36A7"/>
    <w:rsid w:val="009E6BC9"/>
    <w:rsid w:val="00A350C4"/>
    <w:rsid w:val="00AC3458"/>
    <w:rsid w:val="00AD67D5"/>
    <w:rsid w:val="00AD727F"/>
    <w:rsid w:val="00B24F10"/>
    <w:rsid w:val="00B73C33"/>
    <w:rsid w:val="00B846FB"/>
    <w:rsid w:val="00B84BEF"/>
    <w:rsid w:val="00BA3C94"/>
    <w:rsid w:val="00BB6E56"/>
    <w:rsid w:val="00C03FFA"/>
    <w:rsid w:val="00C1224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642D"/>
    <w:rsid w:val="00F0760F"/>
    <w:rsid w:val="00F314FF"/>
    <w:rsid w:val="00F33D13"/>
    <w:rsid w:val="00F47D8B"/>
    <w:rsid w:val="00F627D0"/>
    <w:rsid w:val="00F73587"/>
    <w:rsid w:val="00F841B6"/>
    <w:rsid w:val="00F92EA1"/>
    <w:rsid w:val="00FA19BF"/>
    <w:rsid w:val="00FE5D56"/>
    <w:rsid w:val="01041DE1"/>
    <w:rsid w:val="01225F6B"/>
    <w:rsid w:val="01D84BA8"/>
    <w:rsid w:val="028D2FBF"/>
    <w:rsid w:val="02DA7E74"/>
    <w:rsid w:val="03022904"/>
    <w:rsid w:val="038A1F16"/>
    <w:rsid w:val="04A37BF0"/>
    <w:rsid w:val="070B051A"/>
    <w:rsid w:val="086F2C3A"/>
    <w:rsid w:val="089C30CF"/>
    <w:rsid w:val="08CA2A7A"/>
    <w:rsid w:val="091D1BF8"/>
    <w:rsid w:val="0A1469F1"/>
    <w:rsid w:val="0A173D8A"/>
    <w:rsid w:val="0A1D441B"/>
    <w:rsid w:val="0AC90261"/>
    <w:rsid w:val="0B3B0E84"/>
    <w:rsid w:val="0B436F70"/>
    <w:rsid w:val="0B787C61"/>
    <w:rsid w:val="0CBB64AC"/>
    <w:rsid w:val="0CC05689"/>
    <w:rsid w:val="0CD5224C"/>
    <w:rsid w:val="0F95650E"/>
    <w:rsid w:val="10862A71"/>
    <w:rsid w:val="110171B2"/>
    <w:rsid w:val="11206E84"/>
    <w:rsid w:val="11CB5693"/>
    <w:rsid w:val="11D213EC"/>
    <w:rsid w:val="13392934"/>
    <w:rsid w:val="14E836E8"/>
    <w:rsid w:val="150054C7"/>
    <w:rsid w:val="15915B3D"/>
    <w:rsid w:val="15BE553B"/>
    <w:rsid w:val="16A3322F"/>
    <w:rsid w:val="17CD5A7B"/>
    <w:rsid w:val="187A66B9"/>
    <w:rsid w:val="1962712A"/>
    <w:rsid w:val="1B0F2B81"/>
    <w:rsid w:val="1E1B683D"/>
    <w:rsid w:val="1E2256DD"/>
    <w:rsid w:val="1EAB5371"/>
    <w:rsid w:val="1EB965F4"/>
    <w:rsid w:val="1FAE4963"/>
    <w:rsid w:val="1FE43F83"/>
    <w:rsid w:val="20F63843"/>
    <w:rsid w:val="212D209C"/>
    <w:rsid w:val="222857CE"/>
    <w:rsid w:val="22704248"/>
    <w:rsid w:val="250D1D0C"/>
    <w:rsid w:val="272535CA"/>
    <w:rsid w:val="2903464E"/>
    <w:rsid w:val="2A5223CF"/>
    <w:rsid w:val="2AA9463F"/>
    <w:rsid w:val="2B0333E9"/>
    <w:rsid w:val="2C0C239D"/>
    <w:rsid w:val="2C7B2710"/>
    <w:rsid w:val="2CEB5D3E"/>
    <w:rsid w:val="30BA1D6D"/>
    <w:rsid w:val="30C20634"/>
    <w:rsid w:val="313161CC"/>
    <w:rsid w:val="31AC0EA0"/>
    <w:rsid w:val="35AF0666"/>
    <w:rsid w:val="364E112D"/>
    <w:rsid w:val="36E0052C"/>
    <w:rsid w:val="36F84B57"/>
    <w:rsid w:val="374C0896"/>
    <w:rsid w:val="38FC32F5"/>
    <w:rsid w:val="39030A9D"/>
    <w:rsid w:val="3A2334B6"/>
    <w:rsid w:val="3BCA0B96"/>
    <w:rsid w:val="3ECD0998"/>
    <w:rsid w:val="3ED508CA"/>
    <w:rsid w:val="3ED734A6"/>
    <w:rsid w:val="3F2932B0"/>
    <w:rsid w:val="3FA42170"/>
    <w:rsid w:val="3FAF36DB"/>
    <w:rsid w:val="3FE26683"/>
    <w:rsid w:val="406A14B3"/>
    <w:rsid w:val="409B2E14"/>
    <w:rsid w:val="41103459"/>
    <w:rsid w:val="43146FF6"/>
    <w:rsid w:val="449C7E1E"/>
    <w:rsid w:val="45797337"/>
    <w:rsid w:val="4599227F"/>
    <w:rsid w:val="45D06EE4"/>
    <w:rsid w:val="46FE4C6E"/>
    <w:rsid w:val="47584A9D"/>
    <w:rsid w:val="47881AEB"/>
    <w:rsid w:val="47C04462"/>
    <w:rsid w:val="47D544D4"/>
    <w:rsid w:val="4941533E"/>
    <w:rsid w:val="49957D19"/>
    <w:rsid w:val="49BE175E"/>
    <w:rsid w:val="4A8E6560"/>
    <w:rsid w:val="4C173EDE"/>
    <w:rsid w:val="4C740BA8"/>
    <w:rsid w:val="4D000563"/>
    <w:rsid w:val="4D5D5930"/>
    <w:rsid w:val="4DE6755C"/>
    <w:rsid w:val="4E6D6F61"/>
    <w:rsid w:val="4EC06D16"/>
    <w:rsid w:val="4F201BB4"/>
    <w:rsid w:val="4F673E64"/>
    <w:rsid w:val="4FC1058D"/>
    <w:rsid w:val="4FED3084"/>
    <w:rsid w:val="506A04F4"/>
    <w:rsid w:val="51000FA0"/>
    <w:rsid w:val="518C5D3B"/>
    <w:rsid w:val="51FA450E"/>
    <w:rsid w:val="52291916"/>
    <w:rsid w:val="528B1069"/>
    <w:rsid w:val="533F437E"/>
    <w:rsid w:val="53AD1A2D"/>
    <w:rsid w:val="53D170F4"/>
    <w:rsid w:val="56581D59"/>
    <w:rsid w:val="567360E6"/>
    <w:rsid w:val="579A1A74"/>
    <w:rsid w:val="58B12E03"/>
    <w:rsid w:val="58B3131C"/>
    <w:rsid w:val="58DD7AFF"/>
    <w:rsid w:val="59C5081D"/>
    <w:rsid w:val="5A2F5AF5"/>
    <w:rsid w:val="5AFF7905"/>
    <w:rsid w:val="5B492C91"/>
    <w:rsid w:val="5B8C1E41"/>
    <w:rsid w:val="5D2D075A"/>
    <w:rsid w:val="5DC547AD"/>
    <w:rsid w:val="5E7D6603"/>
    <w:rsid w:val="5F600D4E"/>
    <w:rsid w:val="609F186D"/>
    <w:rsid w:val="629A11E5"/>
    <w:rsid w:val="62CB49A1"/>
    <w:rsid w:val="63616199"/>
    <w:rsid w:val="646B2FA5"/>
    <w:rsid w:val="65170B20"/>
    <w:rsid w:val="660E4242"/>
    <w:rsid w:val="66372AED"/>
    <w:rsid w:val="677038E2"/>
    <w:rsid w:val="686325F3"/>
    <w:rsid w:val="68663796"/>
    <w:rsid w:val="69293200"/>
    <w:rsid w:val="694347AF"/>
    <w:rsid w:val="694F06EB"/>
    <w:rsid w:val="6A063BDC"/>
    <w:rsid w:val="6A625D93"/>
    <w:rsid w:val="6A841BD5"/>
    <w:rsid w:val="6BE35659"/>
    <w:rsid w:val="6C0B1EC6"/>
    <w:rsid w:val="6F6F1C62"/>
    <w:rsid w:val="70FD12D6"/>
    <w:rsid w:val="711E22C5"/>
    <w:rsid w:val="71394751"/>
    <w:rsid w:val="71F54A46"/>
    <w:rsid w:val="732872C5"/>
    <w:rsid w:val="73AB55C3"/>
    <w:rsid w:val="74EB5441"/>
    <w:rsid w:val="771976F5"/>
    <w:rsid w:val="77447586"/>
    <w:rsid w:val="79C61A14"/>
    <w:rsid w:val="7BD13B30"/>
    <w:rsid w:val="7C080BA0"/>
    <w:rsid w:val="7D602F36"/>
    <w:rsid w:val="7D8354E8"/>
    <w:rsid w:val="7E100C99"/>
    <w:rsid w:val="7E886BD8"/>
    <w:rsid w:val="7F7A668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7">
    <w:name w:val="Document Map"/>
    <w:basedOn w:val="1"/>
    <w:link w:val="23"/>
    <w:semiHidden/>
    <w:unhideWhenUsed/>
    <w:qFormat/>
    <w:uiPriority w:val="99"/>
    <w:rPr>
      <w:rFonts w:ascii="宋体" w:eastAsia="宋体"/>
      <w:sz w:val="18"/>
      <w:szCs w:val="18"/>
    </w:rPr>
  </w:style>
  <w:style w:type="paragraph" w:styleId="8">
    <w:name w:val="Balloon Text"/>
    <w:basedOn w:val="1"/>
    <w:link w:val="24"/>
    <w:semiHidden/>
    <w:unhideWhenUsed/>
    <w:qFormat/>
    <w:uiPriority w:val="99"/>
    <w:rPr>
      <w:sz w:val="18"/>
      <w:szCs w:val="18"/>
    </w:rPr>
  </w:style>
  <w:style w:type="paragraph" w:styleId="9">
    <w:name w:val="footer"/>
    <w:basedOn w:val="1"/>
    <w:link w:val="17"/>
    <w:unhideWhenUsed/>
    <w:qFormat/>
    <w:uiPriority w:val="99"/>
    <w:pPr>
      <w:tabs>
        <w:tab w:val="center" w:pos="4153"/>
        <w:tab w:val="right" w:pos="8306"/>
      </w:tabs>
      <w:snapToGrid w:val="0"/>
      <w:jc w:val="left"/>
    </w:pPr>
    <w:rPr>
      <w:sz w:val="18"/>
      <w:szCs w:val="18"/>
    </w:rPr>
  </w:style>
  <w:style w:type="paragraph" w:styleId="10">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List"/>
    <w:basedOn w:val="1"/>
    <w:qFormat/>
    <w:uiPriority w:val="0"/>
    <w:pPr>
      <w:ind w:left="568" w:hanging="284"/>
    </w:pPr>
  </w:style>
  <w:style w:type="table" w:styleId="13">
    <w:name w:val="Table Grid"/>
    <w:basedOn w:val="12"/>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0000FF"/>
      <w:u w:val="single"/>
    </w:rPr>
  </w:style>
  <w:style w:type="character" w:customStyle="1" w:styleId="16">
    <w:name w:val="页眉 Char"/>
    <w:basedOn w:val="14"/>
    <w:link w:val="10"/>
    <w:qFormat/>
    <w:uiPriority w:val="99"/>
    <w:rPr>
      <w:sz w:val="18"/>
      <w:szCs w:val="18"/>
    </w:rPr>
  </w:style>
  <w:style w:type="character" w:customStyle="1" w:styleId="17">
    <w:name w:val="页脚 Char"/>
    <w:basedOn w:val="14"/>
    <w:link w:val="9"/>
    <w:qFormat/>
    <w:uiPriority w:val="99"/>
    <w:rPr>
      <w:sz w:val="18"/>
      <w:szCs w:val="18"/>
    </w:rPr>
  </w:style>
  <w:style w:type="paragraph" w:customStyle="1" w:styleId="18">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9">
    <w:name w:val="TF"/>
    <w:basedOn w:val="18"/>
    <w:qFormat/>
    <w:uiPriority w:val="0"/>
    <w:pPr>
      <w:keepNext w:val="0"/>
      <w:spacing w:before="0" w:after="240"/>
    </w:pPr>
  </w:style>
  <w:style w:type="paragraph" w:styleId="20">
    <w:name w:val="List Paragraph"/>
    <w:basedOn w:val="1"/>
    <w:qFormat/>
    <w:uiPriority w:val="34"/>
    <w:pPr>
      <w:ind w:firstLine="420" w:firstLineChars="200"/>
    </w:pPr>
  </w:style>
  <w:style w:type="paragraph" w:customStyle="1" w:styleId="21">
    <w:name w:val="B1"/>
    <w:basedOn w:val="11"/>
    <w:qFormat/>
    <w:uiPriority w:val="0"/>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文档结构图 Char"/>
    <w:basedOn w:val="14"/>
    <w:link w:val="7"/>
    <w:semiHidden/>
    <w:qFormat/>
    <w:uiPriority w:val="99"/>
    <w:rPr>
      <w:rFonts w:ascii="宋体" w:eastAsia="宋体"/>
      <w:kern w:val="2"/>
      <w:sz w:val="18"/>
      <w:szCs w:val="18"/>
    </w:rPr>
  </w:style>
  <w:style w:type="character" w:customStyle="1" w:styleId="24">
    <w:name w:val="批注框文本 Char"/>
    <w:basedOn w:val="14"/>
    <w:link w:val="8"/>
    <w:semiHidden/>
    <w:qFormat/>
    <w:uiPriority w:val="99"/>
    <w:rPr>
      <w:kern w:val="2"/>
      <w:sz w:val="18"/>
      <w:szCs w:val="18"/>
    </w:rPr>
  </w:style>
  <w:style w:type="paragraph" w:customStyle="1" w:styleId="25">
    <w:name w:val="Doc-text2"/>
    <w:basedOn w:val="1"/>
    <w:qFormat/>
    <w:uiPriority w:val="0"/>
    <w:pPr>
      <w:tabs>
        <w:tab w:val="left" w:pos="1622"/>
      </w:tabs>
      <w:autoSpaceDE/>
      <w:autoSpaceDN/>
      <w:adjustRightInd/>
      <w:ind w:left="1622" w:hanging="363"/>
      <w:jc w:val="left"/>
      <w:textAlignment w:val="auto"/>
    </w:pPr>
    <w:rPr>
      <w:rFonts w:ascii="Arial" w:hAnsi="Arial" w:eastAsia="MS Mincho"/>
      <w:sz w:val="20"/>
      <w:lang w:val="en-GB" w:eastAsia="en-GB"/>
    </w:rPr>
  </w:style>
  <w:style w:type="paragraph" w:customStyle="1" w:styleId="26">
    <w:name w:val="Doc-comment"/>
    <w:basedOn w:val="1"/>
    <w:next w:val="25"/>
    <w:qFormat/>
    <w:uiPriority w:val="0"/>
    <w:pPr>
      <w:tabs>
        <w:tab w:val="left" w:pos="1622"/>
      </w:tabs>
      <w:spacing w:before="0"/>
      <w:ind w:left="1622" w:hanging="363"/>
    </w:pPr>
    <w:rPr>
      <w: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690</Words>
  <Characters>3936</Characters>
  <Lines>32</Lines>
  <Paragraphs>9</Paragraphs>
  <TotalTime>1</TotalTime>
  <ScaleCrop>false</ScaleCrop>
  <LinksUpToDate>false</LinksUpToDate>
  <CharactersWithSpaces>4617</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2022-09-30T07:00:00Z</dcterms:created>
  <dc:creator>CMCC_TJY</dc:creator>
  <cp:lastModifiedBy>CMCC</cp:lastModifiedBy>
  <dcterms:modified xsi:type="dcterms:W3CDTF">2023-04-07T08:22:15Z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88AF028F904B458A86E2FFD92995B4BE</vt:lpwstr>
  </property>
</Properties>
</file>